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7C98F" w14:textId="77777777" w:rsidR="00EF2398" w:rsidRDefault="0074448B">
      <w:pPr>
        <w:rPr>
          <w:b/>
          <w:bCs/>
        </w:rPr>
      </w:pPr>
      <w:r w:rsidRPr="0074448B">
        <w:rPr>
          <w:b/>
          <w:bCs/>
        </w:rPr>
        <w:t>Concept tweede nieuwsbrief Wet kwaliteitsborging voor het bouwen</w:t>
      </w:r>
    </w:p>
    <w:p w14:paraId="5E2C5315" w14:textId="77777777" w:rsidR="0074448B" w:rsidRDefault="0074448B">
      <w:pPr>
        <w:rPr>
          <w:b/>
          <w:bCs/>
        </w:rPr>
      </w:pPr>
      <w:r>
        <w:rPr>
          <w:b/>
          <w:bCs/>
        </w:rPr>
        <w:t>Consumentendossier</w:t>
      </w:r>
    </w:p>
    <w:p w14:paraId="657C2830" w14:textId="3E83E065" w:rsidR="0074448B" w:rsidRDefault="0074448B">
      <w:r w:rsidRPr="0074448B">
        <w:t xml:space="preserve">In de </w:t>
      </w:r>
      <w:r>
        <w:t xml:space="preserve">vorige nieuwsbrief hebben we een beeld geschetst van wat er zoal speelt rondom de Wet kwaliteitsborging. In deze nieuwsbrief gaan we nader in op het consumentendossier. </w:t>
      </w:r>
      <w:r w:rsidR="00E1483A">
        <w:t>Het is een onderwerp waarbij we ook wat nader op de juridische aspecten moeten ingaan.</w:t>
      </w:r>
      <w:r w:rsidR="0096183F">
        <w:t xml:space="preserve"> Taaie kost, maar voor een goed begrip wel belangrijk.</w:t>
      </w:r>
    </w:p>
    <w:p w14:paraId="64445B41" w14:textId="263E4283" w:rsidR="00042AAE" w:rsidRPr="00743B55" w:rsidRDefault="00743B55" w:rsidP="00743B55">
      <w:pPr>
        <w:pStyle w:val="Geenafstand"/>
        <w:rPr>
          <w:b/>
        </w:rPr>
      </w:pPr>
      <w:r w:rsidRPr="00743B55">
        <w:rPr>
          <w:b/>
        </w:rPr>
        <w:t>Consumentendossier i</w:t>
      </w:r>
      <w:r w:rsidR="00042AAE" w:rsidRPr="00743B55">
        <w:rPr>
          <w:b/>
        </w:rPr>
        <w:t>n het kort</w:t>
      </w:r>
    </w:p>
    <w:p w14:paraId="397AB695" w14:textId="77777777" w:rsidR="00635C88" w:rsidRDefault="00042AAE">
      <w:r>
        <w:t xml:space="preserve">Er komt een consumentendossier. In dit dossier moet de aannemer aan de opdrachtgever een volledig inzicht geven </w:t>
      </w:r>
      <w:r w:rsidRPr="00042AAE">
        <w:t>in de nakoming van de overeenkomst</w:t>
      </w:r>
      <w:r>
        <w:t xml:space="preserve">. </w:t>
      </w:r>
      <w:r w:rsidR="00B0514C">
        <w:t xml:space="preserve">Dit geldt niet alleen voor particuliere opdrachtgevers, maar voor alle opdrachten. De inhoud van het consumentendossier wordt mede vormgegeven door de nieuwe NPR 8092. Van de oplevering van het dossier mag worden afgeweken, maar alleen als beide partijen dat willen, en dat moet dan goed worden vastgelegd. </w:t>
      </w:r>
    </w:p>
    <w:p w14:paraId="669C9383" w14:textId="4B003357" w:rsidR="00042AAE" w:rsidRDefault="00B0514C">
      <w:r>
        <w:t>In onderstaand arti</w:t>
      </w:r>
      <w:r w:rsidR="00635C88">
        <w:t>kel wordt dit nader toegelicht.</w:t>
      </w:r>
    </w:p>
    <w:p w14:paraId="2B5EE660" w14:textId="17434425" w:rsidR="00E1483A" w:rsidRDefault="008A4D6B">
      <w:pPr>
        <w:rPr>
          <w:b/>
          <w:bCs/>
        </w:rPr>
      </w:pPr>
      <w:r>
        <w:rPr>
          <w:b/>
          <w:bCs/>
        </w:rPr>
        <w:t>Bouwc</w:t>
      </w:r>
      <w:r w:rsidR="00E1483A">
        <w:rPr>
          <w:b/>
          <w:bCs/>
        </w:rPr>
        <w:t>onsument</w:t>
      </w:r>
    </w:p>
    <w:p w14:paraId="04270456" w14:textId="531EFB91" w:rsidR="00E1483A" w:rsidRPr="008A4D6B" w:rsidRDefault="008A4D6B">
      <w:r w:rsidRPr="008A4D6B">
        <w:t>In de debatten</w:t>
      </w:r>
      <w:r>
        <w:t xml:space="preserve"> rondom het voorstel voor de Wkb is vaak gesproken over de bouwconsument en in de definitieve versie</w:t>
      </w:r>
      <w:r w:rsidR="0096183F">
        <w:t xml:space="preserve"> van de wet</w:t>
      </w:r>
      <w:r>
        <w:t xml:space="preserve"> is het </w:t>
      </w:r>
      <w:r w:rsidR="0096183F">
        <w:t>zogenaamde ‘</w:t>
      </w:r>
      <w:r>
        <w:t>consumentendossier</w:t>
      </w:r>
      <w:r w:rsidR="0096183F">
        <w:t>’</w:t>
      </w:r>
      <w:r>
        <w:t xml:space="preserve"> opgenomen. Dat wekt de suggestie dat </w:t>
      </w:r>
      <w:r w:rsidR="0096183F">
        <w:t xml:space="preserve">dit </w:t>
      </w:r>
      <w:r>
        <w:t xml:space="preserve">uitsluitend </w:t>
      </w:r>
      <w:r w:rsidR="0096183F">
        <w:t xml:space="preserve">zou gelden bij </w:t>
      </w:r>
      <w:r>
        <w:t xml:space="preserve">particuliere opdrachtgevers. Dat is echter niet het geval. </w:t>
      </w:r>
      <w:r w:rsidR="00C11153">
        <w:t xml:space="preserve">De bouwconsument is in dit verband dus </w:t>
      </w:r>
      <w:r w:rsidR="00C11153" w:rsidRPr="008A4D6B">
        <w:rPr>
          <w:u w:val="single"/>
        </w:rPr>
        <w:t>elke</w:t>
      </w:r>
      <w:r w:rsidR="00C11153">
        <w:t xml:space="preserve"> opdrachtgever en het consumentendossier geldt ook alle opdrachtgevers.</w:t>
      </w:r>
      <w:r w:rsidR="0096183F">
        <w:t xml:space="preserve"> </w:t>
      </w:r>
    </w:p>
    <w:p w14:paraId="671EB84A" w14:textId="6B2952EB" w:rsidR="0074448B" w:rsidRPr="0074448B" w:rsidRDefault="0074448B">
      <w:pPr>
        <w:rPr>
          <w:b/>
          <w:bCs/>
        </w:rPr>
      </w:pPr>
      <w:r w:rsidRPr="0074448B">
        <w:rPr>
          <w:b/>
          <w:bCs/>
        </w:rPr>
        <w:t>Wettelijk kader</w:t>
      </w:r>
    </w:p>
    <w:p w14:paraId="2090DC94" w14:textId="00C60B11" w:rsidR="0074448B" w:rsidRDefault="0074448B" w:rsidP="0074448B">
      <w:r>
        <w:t>Tijdens de behandeling van de Wkb in de Tweede Kamer zijn er op voorstel van Kamerleden enkele wijzigingen (</w:t>
      </w:r>
      <w:r w:rsidR="0096183F">
        <w:t>‘</w:t>
      </w:r>
      <w:r>
        <w:t>amendementen</w:t>
      </w:r>
      <w:r w:rsidR="0096183F">
        <w:t>’</w:t>
      </w:r>
      <w:r>
        <w:t>) in de wet aangebracht. Een belangrijk amendement betreft de introductie van het consumentendossier in het nieuwe artikel 757a van het Burgerlijk Wetboek (BW)</w:t>
      </w:r>
      <w:r w:rsidR="0096183F">
        <w:t>, en wordt als volgt geformuleerd</w:t>
      </w:r>
      <w:r w:rsidR="00FC18B7">
        <w:t>:</w:t>
      </w:r>
    </w:p>
    <w:p w14:paraId="706AF09B" w14:textId="77777777" w:rsidR="0074448B" w:rsidRPr="0074448B" w:rsidRDefault="00FC7E4B" w:rsidP="00FC7E4B">
      <w:pPr>
        <w:spacing w:after="0"/>
      </w:pPr>
      <w:r>
        <w:t>“</w:t>
      </w:r>
      <w:r w:rsidR="0074448B" w:rsidRPr="0074448B">
        <w:t xml:space="preserve">In geval van aanneming van een bouwwerk legt de aannemer bij de kennisgeving dat het werk klaar is om te worden </w:t>
      </w:r>
      <w:r w:rsidRPr="0074448B">
        <w:t xml:space="preserve">opgeleverd, </w:t>
      </w:r>
      <w:r>
        <w:t>(</w:t>
      </w:r>
      <w:r w:rsidRPr="0074448B">
        <w:t>…</w:t>
      </w:r>
      <w:r>
        <w:t>)</w:t>
      </w:r>
      <w:r w:rsidR="0074448B" w:rsidRPr="0074448B">
        <w:t xml:space="preserve"> een dossier aan de opdrachtgever over </w:t>
      </w:r>
      <w:r>
        <w:t>(</w:t>
      </w:r>
      <w:r w:rsidR="0074448B" w:rsidRPr="0074448B">
        <w:t>…</w:t>
      </w:r>
      <w:r>
        <w:t xml:space="preserve">). </w:t>
      </w:r>
      <w:r w:rsidR="0074448B" w:rsidRPr="0074448B">
        <w:t xml:space="preserve"> Het dossier bevat gegevens en bescheiden die volledig inzicht geven in de nakoming van de overeenkomst door de aannemer </w:t>
      </w:r>
      <w:r>
        <w:t>(</w:t>
      </w:r>
      <w:r w:rsidR="0074448B" w:rsidRPr="0074448B">
        <w:t>…</w:t>
      </w:r>
      <w:r>
        <w:t xml:space="preserve">) </w:t>
      </w:r>
      <w:r w:rsidR="0074448B" w:rsidRPr="0074448B">
        <w:t>en bevat in ieder geval:</w:t>
      </w:r>
    </w:p>
    <w:p w14:paraId="519D5827" w14:textId="77777777" w:rsidR="00FC7E4B" w:rsidRDefault="0074448B" w:rsidP="0074448B">
      <w:pPr>
        <w:pStyle w:val="Lijstalinea"/>
        <w:numPr>
          <w:ilvl w:val="0"/>
          <w:numId w:val="2"/>
        </w:numPr>
      </w:pPr>
      <w:r w:rsidRPr="0074448B">
        <w:t xml:space="preserve">tekeningen en berekeningen betreffende het </w:t>
      </w:r>
      <w:r w:rsidR="00FC7E4B">
        <w:t>(…)</w:t>
      </w:r>
      <w:r w:rsidRPr="0074448B">
        <w:t xml:space="preserve"> bouwwerk en de bijbehorende installaties, en een beschrijving van de toegepaste materialen en installaties, </w:t>
      </w:r>
      <w:r w:rsidR="00FC7E4B">
        <w:t>(…)</w:t>
      </w:r>
      <w:r w:rsidRPr="0074448B">
        <w:t>;</w:t>
      </w:r>
    </w:p>
    <w:p w14:paraId="1C4BB519" w14:textId="77777777" w:rsidR="0074448B" w:rsidRDefault="0074448B" w:rsidP="0074448B">
      <w:pPr>
        <w:pStyle w:val="Lijstalinea"/>
        <w:numPr>
          <w:ilvl w:val="0"/>
          <w:numId w:val="2"/>
        </w:numPr>
      </w:pPr>
      <w:r w:rsidRPr="0074448B">
        <w:t>gegevens en bescheiden die nodig zijn voor gebruik en onderhoud van het bouwwerk.</w:t>
      </w:r>
      <w:r w:rsidR="00FC7E4B">
        <w:t>”</w:t>
      </w:r>
    </w:p>
    <w:p w14:paraId="1F6F4D43" w14:textId="48A34CD0" w:rsidR="00E00AFB" w:rsidRDefault="0096183F" w:rsidP="0074448B">
      <w:pPr>
        <w:rPr>
          <w:b/>
          <w:bCs/>
        </w:rPr>
      </w:pPr>
      <w:r>
        <w:rPr>
          <w:b/>
          <w:bCs/>
        </w:rPr>
        <w:t xml:space="preserve">Onderscheid tussen </w:t>
      </w:r>
      <w:r w:rsidR="00D92DC9">
        <w:rPr>
          <w:b/>
          <w:bCs/>
        </w:rPr>
        <w:t xml:space="preserve">publiekrecht </w:t>
      </w:r>
      <w:r w:rsidR="00E00AFB">
        <w:rPr>
          <w:b/>
          <w:bCs/>
        </w:rPr>
        <w:t>en privaatrecht</w:t>
      </w:r>
    </w:p>
    <w:p w14:paraId="0BF3BA44" w14:textId="3BC6A5E6" w:rsidR="00E00AFB" w:rsidRDefault="00E00AFB" w:rsidP="0074448B">
      <w:r w:rsidRPr="00E00AFB">
        <w:t>Om de strekking en de reikwijdte van dit artikel</w:t>
      </w:r>
      <w:r>
        <w:t xml:space="preserve"> te kunnen begrijpen is het goed om het onderscheid </w:t>
      </w:r>
      <w:r w:rsidR="0096183F">
        <w:t>toe te lichten</w:t>
      </w:r>
      <w:r>
        <w:t xml:space="preserve"> tussen </w:t>
      </w:r>
      <w:r w:rsidR="00BF25CF" w:rsidRPr="00635C88">
        <w:rPr>
          <w:u w:val="single"/>
        </w:rPr>
        <w:t>publiekrecht</w:t>
      </w:r>
      <w:r w:rsidR="00BF25CF">
        <w:t xml:space="preserve"> en </w:t>
      </w:r>
      <w:r>
        <w:t>civiel recht (</w:t>
      </w:r>
      <w:r w:rsidRPr="00635C88">
        <w:rPr>
          <w:u w:val="single"/>
        </w:rPr>
        <w:t>privaatrecht</w:t>
      </w:r>
      <w:r>
        <w:t xml:space="preserve">). Het </w:t>
      </w:r>
      <w:r w:rsidR="00BF25CF">
        <w:t xml:space="preserve">publiekrecht regelt het recht tussen burgers of bedrijven en de overheid. De Woningwet en de Arbowet zijn daar voorbeelden van. Een kenmerk van publiekrecht is het toezicht op de naleving ervan. Uitgangspunt is dat de overheidsorganen alleen mogen optreden als daar een wettelijke grond voor is. Daarom is publiekrecht vaak </w:t>
      </w:r>
      <w:r w:rsidR="0096183F">
        <w:t xml:space="preserve">erg </w:t>
      </w:r>
      <w:r w:rsidR="00FC18B7">
        <w:t>gedetailleerd beschreven.</w:t>
      </w:r>
    </w:p>
    <w:p w14:paraId="7A2427F1" w14:textId="0C936E5F" w:rsidR="00FC18B7" w:rsidRPr="00E00AFB" w:rsidRDefault="00FC18B7" w:rsidP="0074448B">
      <w:r>
        <w:t xml:space="preserve">Privaatrecht daarentegen regelt het recht tussen natuurlijke en/of rechtspersonen (BV’s, stichtingen, verenigingen, e.d.). Uitgangspunt is dat alles mag tenzij bij wet verboden. </w:t>
      </w:r>
      <w:r w:rsidR="002A425E">
        <w:t xml:space="preserve">Een kenmerk is dat degene wiens recht wordt geschonden zelf in actie moet komen. Dit onderdeel van het recht is vaak veel </w:t>
      </w:r>
      <w:r w:rsidR="002A425E">
        <w:lastRenderedPageBreak/>
        <w:t>globaler beschreven in het Burgerlijk Wetboek (BW). De nadere uitleg komt tot stand in de rechtszaal: de jurisprudentie.</w:t>
      </w:r>
    </w:p>
    <w:p w14:paraId="71BD6AF0" w14:textId="0B6A6902" w:rsidR="00FC7E4B" w:rsidRDefault="00635C88" w:rsidP="0074448B">
      <w:pPr>
        <w:rPr>
          <w:b/>
          <w:bCs/>
        </w:rPr>
      </w:pPr>
      <w:r>
        <w:rPr>
          <w:b/>
          <w:bCs/>
        </w:rPr>
        <w:t>Maar w</w:t>
      </w:r>
      <w:r w:rsidR="00FC7E4B" w:rsidRPr="00FC7E4B">
        <w:rPr>
          <w:b/>
          <w:bCs/>
        </w:rPr>
        <w:t>at is volledig</w:t>
      </w:r>
      <w:r w:rsidR="00FC7E4B">
        <w:rPr>
          <w:b/>
          <w:bCs/>
        </w:rPr>
        <w:t xml:space="preserve"> inzicht?</w:t>
      </w:r>
    </w:p>
    <w:p w14:paraId="4CE1AF86" w14:textId="4DBA4AFF" w:rsidR="0096183F" w:rsidRDefault="0096183F" w:rsidP="0074448B">
      <w:r>
        <w:t>De term ‘volledig inzicht’ is pas heel laat in het proces ingebracht, en dit begrip is dan ook niet volledig uitgewerkt.</w:t>
      </w:r>
    </w:p>
    <w:p w14:paraId="7C615972" w14:textId="67E8A8F6" w:rsidR="00E00AFB" w:rsidRDefault="0096183F" w:rsidP="0074448B">
      <w:r>
        <w:t xml:space="preserve">Zoals gezegd; het consumentendossier valt binnen het </w:t>
      </w:r>
      <w:r w:rsidR="002A425E">
        <w:t>privaatrecht. Dat betekent dat de uitleg van de reikwijdte van ‘volledig inzicht’ pas later uit rechtszaken duidelijker zal worden</w:t>
      </w:r>
      <w:r w:rsidR="00042AAE">
        <w:t>; een ongewenste situatie voor bouwers, want tenslotte willen zij snel weten waar ze aan toe zijn.</w:t>
      </w:r>
      <w:r w:rsidR="002A425E">
        <w:t xml:space="preserve">De stuurgroep Kwaliteitsborging, waar de AFNL ook aan deelneemt, heeft er </w:t>
      </w:r>
      <w:r w:rsidR="00042AAE">
        <w:t xml:space="preserve">dan ook </w:t>
      </w:r>
      <w:r w:rsidR="002A425E">
        <w:t>bij het ministerie op aangedrongen om hier toch enige regie in te nemen.  Dat heeft ertoe geleid dat het ministerie het normalisatie-instituut NEN heeft gevraagd een Nederlandse Praktijkrichtlijn (NPR) op te stellen voor een consumentendossier.</w:t>
      </w:r>
      <w:r w:rsidR="00042AAE">
        <w:t xml:space="preserve"> In deze NPR wordt het consumentendossier nader uitgewerkt, zodat alle partijen die ermee moeten werken weten hoe dat </w:t>
      </w:r>
      <w:r w:rsidR="00D92DC9">
        <w:t>zou kunnen</w:t>
      </w:r>
      <w:r w:rsidR="00042AAE">
        <w:t>.</w:t>
      </w:r>
    </w:p>
    <w:p w14:paraId="6E78B65B" w14:textId="0C3B1BB5" w:rsidR="002A425E" w:rsidRPr="002A425E" w:rsidRDefault="002A425E" w:rsidP="0074448B">
      <w:pPr>
        <w:rPr>
          <w:b/>
          <w:bCs/>
        </w:rPr>
      </w:pPr>
      <w:r w:rsidRPr="002A425E">
        <w:rPr>
          <w:b/>
          <w:bCs/>
        </w:rPr>
        <w:t>NPR 8092 Consumentendossier</w:t>
      </w:r>
    </w:p>
    <w:p w14:paraId="5A380EA2" w14:textId="110A6E85" w:rsidR="008800D7" w:rsidRDefault="00926938" w:rsidP="0074448B">
      <w:r>
        <w:t>De NPR Consumentendossier wordt ontwikkeld in samenwerking met een commissie, waarin verschillende belanghebbenden zijn vertegenwoordigd</w:t>
      </w:r>
      <w:r w:rsidR="00803FC8">
        <w:t xml:space="preserve">. </w:t>
      </w:r>
      <w:r w:rsidR="00042AAE">
        <w:t>H</w:t>
      </w:r>
      <w:r w:rsidR="008800D7">
        <w:t xml:space="preserve">et ontwerp voor de NPR 8092 </w:t>
      </w:r>
      <w:r w:rsidR="00042AAE">
        <w:t xml:space="preserve">ligt </w:t>
      </w:r>
      <w:r w:rsidR="00D92DC9">
        <w:t>tot 1 januari 2020</w:t>
      </w:r>
      <w:r w:rsidR="00042AAE">
        <w:t xml:space="preserve"> voor </w:t>
      </w:r>
      <w:r w:rsidR="008800D7">
        <w:t>ter kritiek.</w:t>
      </w:r>
      <w:r>
        <w:t xml:space="preserve"> </w:t>
      </w:r>
      <w:r w:rsidR="008800D7">
        <w:t xml:space="preserve">Eenieder die er </w:t>
      </w:r>
      <w:r w:rsidR="00042AAE">
        <w:t xml:space="preserve">in deze periode </w:t>
      </w:r>
      <w:r w:rsidR="008800D7">
        <w:t>kennis van wil nemen en eventueel kritiek wil leveren kan de NPR downloaden van de NEN-website.</w:t>
      </w:r>
    </w:p>
    <w:p w14:paraId="6836B93F" w14:textId="7FCA40C8" w:rsidR="008800D7" w:rsidRDefault="00803FC8" w:rsidP="0074448B">
      <w:r>
        <w:t xml:space="preserve">De NPR is bedoeld als handreiking voor aannemers </w:t>
      </w:r>
      <w:r w:rsidR="00D86BF2">
        <w:t>die een</w:t>
      </w:r>
      <w:r>
        <w:t xml:space="preserve"> consumentendossier </w:t>
      </w:r>
      <w:r w:rsidR="00D86BF2">
        <w:t xml:space="preserve">moeten opstellen </w:t>
      </w:r>
      <w:r>
        <w:t xml:space="preserve">en beschrijft waar het (digitale) consumentendossier aan </w:t>
      </w:r>
      <w:r w:rsidR="008800D7">
        <w:t xml:space="preserve">zou </w:t>
      </w:r>
      <w:r>
        <w:t>moet</w:t>
      </w:r>
      <w:r w:rsidR="008800D7">
        <w:t>en</w:t>
      </w:r>
      <w:r>
        <w:t xml:space="preserve"> voldoen.</w:t>
      </w:r>
      <w:r w:rsidR="008800D7">
        <w:t xml:space="preserve"> De NEN beoogt met de NPR compleet te zijn en daardoor is het voorliggende ontwerp tamelijk omvangrijk.</w:t>
      </w:r>
      <w:r w:rsidR="00D86BF2">
        <w:t xml:space="preserve"> </w:t>
      </w:r>
      <w:r w:rsidR="008800D7">
        <w:t xml:space="preserve">Behalve een beschrijving van die onderdelen gaat de NPR ervan uit dat het consumentendossier een </w:t>
      </w:r>
      <w:r w:rsidR="008800D7" w:rsidRPr="00635C88">
        <w:rPr>
          <w:i/>
          <w:iCs/>
        </w:rPr>
        <w:t>digitaal</w:t>
      </w:r>
      <w:r w:rsidR="008800D7">
        <w:t xml:space="preserve"> instrument wordt. Dat wil zeggen dat de aannemer zijn gegevens invoert of upload op een digitaal platform. Het idee daarachter is dat daardoor de administratieve lasten voor de aannemer en andere gebruikers zo beperkt mogelijk blijven.</w:t>
      </w:r>
      <w:r w:rsidR="00D86BF2">
        <w:t xml:space="preserve"> </w:t>
      </w:r>
      <w:r w:rsidR="008800D7">
        <w:t>Vooralsnog is de NPR bedoeld voor bouw en verbouw van woningen.</w:t>
      </w:r>
    </w:p>
    <w:p w14:paraId="0D243770" w14:textId="2F673F7E" w:rsidR="00893892" w:rsidRDefault="00635C88" w:rsidP="0074448B">
      <w:r>
        <w:t xml:space="preserve">De </w:t>
      </w:r>
      <w:r w:rsidR="00893892">
        <w:t xml:space="preserve">‘standaard’ </w:t>
      </w:r>
      <w:r>
        <w:t xml:space="preserve">voor het </w:t>
      </w:r>
      <w:r w:rsidR="00893892">
        <w:t>consumentendossier</w:t>
      </w:r>
      <w:r>
        <w:t xml:space="preserve"> wordt dus de NPR 8092.</w:t>
      </w:r>
    </w:p>
    <w:p w14:paraId="5B28398A" w14:textId="4334FE56" w:rsidR="00803FC8" w:rsidRPr="008800D7" w:rsidRDefault="008800D7" w:rsidP="0074448B">
      <w:pPr>
        <w:rPr>
          <w:b/>
          <w:bCs/>
        </w:rPr>
      </w:pPr>
      <w:r w:rsidRPr="008800D7">
        <w:rPr>
          <w:b/>
          <w:bCs/>
        </w:rPr>
        <w:t>Handleiding Goed en Deugdelijk werk</w:t>
      </w:r>
    </w:p>
    <w:p w14:paraId="0A9D58CB" w14:textId="6B9CE964" w:rsidR="00803FC8" w:rsidRDefault="00D86BF2" w:rsidP="0074448B">
      <w:r>
        <w:t>Bij de</w:t>
      </w:r>
      <w:r w:rsidR="00635C88">
        <w:t>ze</w:t>
      </w:r>
      <w:r>
        <w:t xml:space="preserve"> NPR komt een handleiding ‘Goed e</w:t>
      </w:r>
      <w:r w:rsidR="00131FFD">
        <w:t>n</w:t>
      </w:r>
      <w:r>
        <w:t xml:space="preserve"> Deugdelijk werk’. In de</w:t>
      </w:r>
      <w:r w:rsidR="00042AAE">
        <w:t>ze</w:t>
      </w:r>
      <w:r>
        <w:t xml:space="preserve"> handleiding wordt vastgelegd wat onder een correcte uitvoering van het werk mag worden verstaan. De AFNL heeft er</w:t>
      </w:r>
      <w:r w:rsidR="00042AAE">
        <w:t xml:space="preserve"> in </w:t>
      </w:r>
      <w:r w:rsidR="00D92DC9">
        <w:t>de normcommissie</w:t>
      </w:r>
      <w:r w:rsidR="00042AAE">
        <w:t xml:space="preserve"> </w:t>
      </w:r>
      <w:r>
        <w:t xml:space="preserve">voor gepleit om vooral in te zetten op aandachtspunten voor de werkomschrijving, zodat vooraf helder is wat de opdrachtgever mag verwachten. Daarin kunnen verwijzingen worden opgenomen naar </w:t>
      </w:r>
      <w:r w:rsidR="00E95742">
        <w:t>documenten, zoals bijvoorbeeld de richtlijnen van het Technisch Bureau Afbouw. Er is op dit moment nog geen concept voor deze handleiding beschikbaar</w:t>
      </w:r>
      <w:r w:rsidR="00743B55">
        <w:t xml:space="preserve">. </w:t>
      </w:r>
      <w:r w:rsidR="00743B55" w:rsidRPr="00743B55">
        <w:t>Zodra d</w:t>
      </w:r>
      <w:r w:rsidR="00635C88">
        <w:t xml:space="preserve">ie </w:t>
      </w:r>
      <w:r w:rsidR="00743B55" w:rsidRPr="00743B55">
        <w:t>is gepubliceerd zullen we hierover nader berichten</w:t>
      </w:r>
      <w:r w:rsidR="00042AAE">
        <w:t xml:space="preserve"> </w:t>
      </w:r>
    </w:p>
    <w:p w14:paraId="5C060DB1" w14:textId="61092992" w:rsidR="00FC7E4B" w:rsidRPr="00E95742" w:rsidRDefault="00E95742" w:rsidP="0074448B">
      <w:pPr>
        <w:rPr>
          <w:b/>
          <w:bCs/>
        </w:rPr>
      </w:pPr>
      <w:r>
        <w:rPr>
          <w:b/>
          <w:bCs/>
        </w:rPr>
        <w:t>Consumentendossier</w:t>
      </w:r>
      <w:r w:rsidRPr="00E95742">
        <w:rPr>
          <w:b/>
          <w:bCs/>
        </w:rPr>
        <w:t xml:space="preserve"> verplicht?</w:t>
      </w:r>
    </w:p>
    <w:p w14:paraId="77CB8822" w14:textId="4BA84E93" w:rsidR="00E95742" w:rsidRDefault="00E95742" w:rsidP="0074448B">
      <w:r>
        <w:t xml:space="preserve">Zoals eerder aangegeven is </w:t>
      </w:r>
      <w:r w:rsidR="00042AAE">
        <w:t xml:space="preserve">bij het consumentendossier </w:t>
      </w:r>
      <w:r>
        <w:t xml:space="preserve">sprake van privaatrecht en bovendien geen </w:t>
      </w:r>
      <w:r w:rsidR="00D92DC9">
        <w:t xml:space="preserve">dwingend </w:t>
      </w:r>
      <w:r>
        <w:t xml:space="preserve">recht. Dat houdt in dat ervan mag worden afgeweken als </w:t>
      </w:r>
      <w:r w:rsidR="00131FFD">
        <w:t xml:space="preserve">partijen dat overeenkomen. </w:t>
      </w:r>
      <w:r w:rsidR="00042AAE">
        <w:t>Concreet betekent dat, dat w</w:t>
      </w:r>
      <w:r w:rsidR="00131FFD">
        <w:t xml:space="preserve">anneer de </w:t>
      </w:r>
      <w:r>
        <w:t>opdrachtgever geen prijs stelt op een consumentendossier</w:t>
      </w:r>
      <w:r w:rsidR="00042AAE">
        <w:t>,</w:t>
      </w:r>
      <w:r>
        <w:t xml:space="preserve"> </w:t>
      </w:r>
      <w:r w:rsidR="00131FFD">
        <w:t xml:space="preserve">de </w:t>
      </w:r>
      <w:r>
        <w:t>aannemer</w:t>
      </w:r>
      <w:r w:rsidR="00131FFD">
        <w:t xml:space="preserve"> </w:t>
      </w:r>
      <w:r w:rsidR="00042AAE">
        <w:t xml:space="preserve">dit </w:t>
      </w:r>
      <w:r w:rsidR="00131FFD">
        <w:t xml:space="preserve">ook niet </w:t>
      </w:r>
      <w:r w:rsidR="00042AAE">
        <w:t xml:space="preserve">hoeft </w:t>
      </w:r>
      <w:r w:rsidR="00131FFD">
        <w:t>te leveren.</w:t>
      </w:r>
      <w:r w:rsidR="00E1483A">
        <w:t xml:space="preserve"> Het is in dat geval </w:t>
      </w:r>
      <w:r w:rsidR="00042AAE">
        <w:t xml:space="preserve">wél </w:t>
      </w:r>
      <w:r w:rsidR="00E1483A">
        <w:t xml:space="preserve">belangrijk een dergelijke afspraak ondubbelzinnig </w:t>
      </w:r>
      <w:r w:rsidR="00042AAE">
        <w:t xml:space="preserve">schriftelijk </w:t>
      </w:r>
      <w:r w:rsidR="00E1483A">
        <w:t>vast te leggen.</w:t>
      </w:r>
    </w:p>
    <w:p w14:paraId="5D68DB7D" w14:textId="005E0DA0" w:rsidR="00131FFD" w:rsidRDefault="00E1483A" w:rsidP="0074448B">
      <w:r>
        <w:lastRenderedPageBreak/>
        <w:t>Ook als partijen afspreken dat er wel een consumentendossier wordt geleverd, hoeft dat niet overeenkomstig NPR 8092 te zijn. Er is in de Wkb immers geen verwijzing naar de NPR. Het is wel belangrijk vooraf afspraken te maken over de inhoud en de omvang van een te leveren consumentendossier, zeker als dat afwijkt van de NPR. Mocht het tot een geschil komen over de te leveren informatie en er is niets vastgelegd, dan mag worden verwacht dat een rechter de NPR als richtlijn zal hanteren. Dat geldt overigens voor beide partijen.</w:t>
      </w:r>
    </w:p>
    <w:p w14:paraId="333D6301" w14:textId="7CC4C7A8" w:rsidR="00C11153" w:rsidRPr="00C11153" w:rsidRDefault="00C11153" w:rsidP="0074448B">
      <w:pPr>
        <w:rPr>
          <w:b/>
          <w:bCs/>
        </w:rPr>
      </w:pPr>
      <w:r w:rsidRPr="00C11153">
        <w:rPr>
          <w:b/>
          <w:bCs/>
        </w:rPr>
        <w:t>Ten slotte</w:t>
      </w:r>
    </w:p>
    <w:p w14:paraId="242C6F8B" w14:textId="5F93CC24" w:rsidR="00C11153" w:rsidRDefault="00C11153" w:rsidP="0074448B">
      <w:r>
        <w:t>De Wkb wordt gefaseerd ingevoerd, maar dat geldt uitsluitend voor de wijziging van het stelsel van bouwtoezicht. Die wijzigingen betreffen Woningwet en Wabo; de wijzigingen in het BW gelden vanaf inwerkingtreding voor alle werken, ongeacht gevolgklasse of vergunningplicht.</w:t>
      </w:r>
    </w:p>
    <w:p w14:paraId="286B387C" w14:textId="4D33F80D" w:rsidR="008A4D6B" w:rsidRDefault="008A4D6B" w:rsidP="0074448B">
      <w:pPr>
        <w:rPr>
          <w:b/>
          <w:bCs/>
        </w:rPr>
      </w:pPr>
      <w:r w:rsidRPr="008A4D6B">
        <w:rPr>
          <w:b/>
          <w:bCs/>
        </w:rPr>
        <w:t>Meer informatie</w:t>
      </w:r>
    </w:p>
    <w:p w14:paraId="5DBFD93F" w14:textId="6296117C" w:rsidR="008A4D6B" w:rsidRPr="008A4D6B" w:rsidRDefault="008A4D6B" w:rsidP="0074448B">
      <w:pPr>
        <w:rPr>
          <w:b/>
          <w:bCs/>
        </w:rPr>
      </w:pPr>
      <w:r w:rsidRPr="00C11153">
        <w:t xml:space="preserve">- </w:t>
      </w:r>
      <w:hyperlink r:id="rId8" w:history="1">
        <w:r w:rsidRPr="00C11153">
          <w:rPr>
            <w:rStyle w:val="Hyperlink"/>
          </w:rPr>
          <w:t>N</w:t>
        </w:r>
        <w:bookmarkStart w:id="0" w:name="_GoBack"/>
        <w:bookmarkEnd w:id="0"/>
        <w:r w:rsidRPr="00C11153">
          <w:rPr>
            <w:rStyle w:val="Hyperlink"/>
          </w:rPr>
          <w:t>PR 8092 Ontw.</w:t>
        </w:r>
      </w:hyperlink>
    </w:p>
    <w:sectPr w:rsidR="008A4D6B" w:rsidRPr="008A4D6B">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7309F9" w16cid:durableId="2173D0A3"/>
  <w16cid:commentId w16cid:paraId="11422438" w16cid:durableId="2173D0F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5050E2"/>
    <w:multiLevelType w:val="hybridMultilevel"/>
    <w:tmpl w:val="62443AB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BB13A2C"/>
    <w:multiLevelType w:val="hybridMultilevel"/>
    <w:tmpl w:val="D4BCE3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8B"/>
    <w:rsid w:val="00042AAE"/>
    <w:rsid w:val="00131FFD"/>
    <w:rsid w:val="002A425E"/>
    <w:rsid w:val="00635C88"/>
    <w:rsid w:val="00743B55"/>
    <w:rsid w:val="0074448B"/>
    <w:rsid w:val="00803FC8"/>
    <w:rsid w:val="008800D7"/>
    <w:rsid w:val="00893892"/>
    <w:rsid w:val="008A4D6B"/>
    <w:rsid w:val="00926938"/>
    <w:rsid w:val="0096183F"/>
    <w:rsid w:val="00B0514C"/>
    <w:rsid w:val="00BF25CF"/>
    <w:rsid w:val="00C11153"/>
    <w:rsid w:val="00D86BF2"/>
    <w:rsid w:val="00D92DC9"/>
    <w:rsid w:val="00E00AFB"/>
    <w:rsid w:val="00E1483A"/>
    <w:rsid w:val="00E95742"/>
    <w:rsid w:val="00EF2398"/>
    <w:rsid w:val="00FC18B7"/>
    <w:rsid w:val="00FC7E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DC851"/>
  <w15:chartTrackingRefBased/>
  <w15:docId w15:val="{4684C2DA-522A-47AF-9E1A-DEC5E75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4448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448B"/>
    <w:rPr>
      <w:rFonts w:ascii="Segoe UI" w:hAnsi="Segoe UI" w:cs="Segoe UI"/>
      <w:sz w:val="18"/>
      <w:szCs w:val="18"/>
    </w:rPr>
  </w:style>
  <w:style w:type="paragraph" w:styleId="Lijstalinea">
    <w:name w:val="List Paragraph"/>
    <w:basedOn w:val="Standaard"/>
    <w:uiPriority w:val="34"/>
    <w:qFormat/>
    <w:rsid w:val="00FC7E4B"/>
    <w:pPr>
      <w:ind w:left="720"/>
      <w:contextualSpacing/>
    </w:pPr>
  </w:style>
  <w:style w:type="character" w:styleId="Hyperlink">
    <w:name w:val="Hyperlink"/>
    <w:basedOn w:val="Standaardalinea-lettertype"/>
    <w:uiPriority w:val="99"/>
    <w:unhideWhenUsed/>
    <w:rsid w:val="00C11153"/>
    <w:rPr>
      <w:color w:val="0563C1" w:themeColor="hyperlink"/>
      <w:u w:val="single"/>
    </w:rPr>
  </w:style>
  <w:style w:type="character" w:customStyle="1" w:styleId="UnresolvedMention">
    <w:name w:val="Unresolved Mention"/>
    <w:basedOn w:val="Standaardalinea-lettertype"/>
    <w:uiPriority w:val="99"/>
    <w:semiHidden/>
    <w:unhideWhenUsed/>
    <w:rsid w:val="00C11153"/>
    <w:rPr>
      <w:color w:val="605E5C"/>
      <w:shd w:val="clear" w:color="auto" w:fill="E1DFDD"/>
    </w:rPr>
  </w:style>
  <w:style w:type="character" w:styleId="Verwijzingopmerking">
    <w:name w:val="annotation reference"/>
    <w:basedOn w:val="Standaardalinea-lettertype"/>
    <w:uiPriority w:val="99"/>
    <w:semiHidden/>
    <w:unhideWhenUsed/>
    <w:rsid w:val="00D92DC9"/>
    <w:rPr>
      <w:sz w:val="16"/>
      <w:szCs w:val="16"/>
    </w:rPr>
  </w:style>
  <w:style w:type="paragraph" w:styleId="Tekstopmerking">
    <w:name w:val="annotation text"/>
    <w:basedOn w:val="Standaard"/>
    <w:link w:val="TekstopmerkingChar"/>
    <w:uiPriority w:val="99"/>
    <w:semiHidden/>
    <w:unhideWhenUsed/>
    <w:rsid w:val="00D92DC9"/>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92DC9"/>
    <w:rPr>
      <w:sz w:val="20"/>
      <w:szCs w:val="20"/>
    </w:rPr>
  </w:style>
  <w:style w:type="paragraph" w:styleId="Onderwerpvanopmerking">
    <w:name w:val="annotation subject"/>
    <w:basedOn w:val="Tekstopmerking"/>
    <w:next w:val="Tekstopmerking"/>
    <w:link w:val="OnderwerpvanopmerkingChar"/>
    <w:uiPriority w:val="99"/>
    <w:semiHidden/>
    <w:unhideWhenUsed/>
    <w:rsid w:val="00D92DC9"/>
    <w:rPr>
      <w:b/>
      <w:bCs/>
    </w:rPr>
  </w:style>
  <w:style w:type="character" w:customStyle="1" w:styleId="OnderwerpvanopmerkingChar">
    <w:name w:val="Onderwerp van opmerking Char"/>
    <w:basedOn w:val="TekstopmerkingChar"/>
    <w:link w:val="Onderwerpvanopmerking"/>
    <w:uiPriority w:val="99"/>
    <w:semiHidden/>
    <w:rsid w:val="00D92DC9"/>
    <w:rPr>
      <w:b/>
      <w:bCs/>
      <w:sz w:val="20"/>
      <w:szCs w:val="20"/>
    </w:rPr>
  </w:style>
  <w:style w:type="paragraph" w:styleId="Geenafstand">
    <w:name w:val="No Spacing"/>
    <w:uiPriority w:val="1"/>
    <w:qFormat/>
    <w:rsid w:val="00743B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n.nl/NEN-Shop/Norm/NPR-80922019-Ontw.-nl.ht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F1D068D2F9E4478F9C58577C41569C" ma:contentTypeVersion="13" ma:contentTypeDescription="Een nieuw document maken." ma:contentTypeScope="" ma:versionID="7335dbbf7f2c3412b09742ea02da6404">
  <xsd:schema xmlns:xsd="http://www.w3.org/2001/XMLSchema" xmlns:xs="http://www.w3.org/2001/XMLSchema" xmlns:p="http://schemas.microsoft.com/office/2006/metadata/properties" xmlns:ns3="53e271a1-e2c4-491c-b818-faa7419a7e76" xmlns:ns4="d9d0e181-c0eb-46f4-a2c6-a96efa7ec4ea" targetNamespace="http://schemas.microsoft.com/office/2006/metadata/properties" ma:root="true" ma:fieldsID="33fc6e08823498a4d522426e56992c24" ns3:_="" ns4:_="">
    <xsd:import namespace="53e271a1-e2c4-491c-b818-faa7419a7e76"/>
    <xsd:import namespace="d9d0e181-c0eb-46f4-a2c6-a96efa7ec4e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271a1-e2c4-491c-b818-faa7419a7e76"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element name="LastSharedByUser" ma:index="11" nillable="true" ma:displayName="Laatst gedeeld, per gebruiker" ma:description="" ma:internalName="LastSharedByUser" ma:readOnly="true">
      <xsd:simpleType>
        <xsd:restriction base="dms:Note">
          <xsd:maxLength value="255"/>
        </xsd:restriction>
      </xsd:simpleType>
    </xsd:element>
    <xsd:element name="LastSharedByTime" ma:index="12"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9d0e181-c0eb-46f4-a2c6-a96efa7ec4e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BFD1E4-2A3A-4C58-BBB5-3926037822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BC9AF58-1295-434D-BEE1-E86C0D34287E}">
  <ds:schemaRefs>
    <ds:schemaRef ds:uri="http://schemas.microsoft.com/sharepoint/v3/contenttype/forms"/>
  </ds:schemaRefs>
</ds:datastoreItem>
</file>

<file path=customXml/itemProps3.xml><?xml version="1.0" encoding="utf-8"?>
<ds:datastoreItem xmlns:ds="http://schemas.openxmlformats.org/officeDocument/2006/customXml" ds:itemID="{8BE9D847-B511-4B1E-9649-012BB7974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271a1-e2c4-491c-b818-faa7419a7e76"/>
    <ds:schemaRef ds:uri="d9d0e181-c0eb-46f4-a2c6-a96efa7ec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6155</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Ligthart</dc:creator>
  <cp:keywords/>
  <dc:description/>
  <cp:lastModifiedBy>Robert Frank Houbaer</cp:lastModifiedBy>
  <cp:revision>2</cp:revision>
  <dcterms:created xsi:type="dcterms:W3CDTF">2019-11-12T10:46:00Z</dcterms:created>
  <dcterms:modified xsi:type="dcterms:W3CDTF">2019-11-12T10:46:00Z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0x01010006F1D068D2F9E4478F9C58577C41569C</vt:lpwstr>
  </property>
</Properties>
</file>